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720"/>
        <w:jc w:val="start"/>
        <w:rPr>
          <w:lang w:val="en-US"/>
        </w:rPr>
      </w:pPr>
      <w:r>
        <w:rPr/>
        <w:drawing>
          <wp:inline distT="0" distB="0" distL="0" distR="0">
            <wp:extent cx="4371975" cy="2552700"/>
            <wp:effectExtent l="0" t="0" r="0" b="0"/>
            <wp:docPr id="1" name="Chart 4" descr="chart" titl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Paraaf1"/>
        <w:bidi w:val="0"/>
        <w:ind w:start="0" w:end="0"/>
        <w:rPr>
          <w:lang w:val="en-US"/>
        </w:rPr>
      </w:pPr>
      <w:r>
        <w:rPr>
          <w:lang w:val="en-US"/>
        </w:rPr>
      </w:r>
    </w:p>
    <w:p>
      <w:pPr>
        <w:pStyle w:val="Paraaf1"/>
        <w:bidi w:val="0"/>
        <w:ind w:start="0" w:end="0"/>
        <w:rPr>
          <w:lang w:val="en-US"/>
        </w:rPr>
      </w:pPr>
      <w:r>
        <w:rPr>
          <w:lang w:val="en-US"/>
        </w:rPr>
      </w:r>
    </w:p>
    <w:p>
      <w:pPr>
        <w:pStyle w:val="Paraaf1"/>
        <w:bidi w:val="0"/>
        <w:ind w:start="0" w:end="0"/>
        <w:rPr>
          <w:lang w:val="en-US"/>
        </w:rPr>
      </w:pPr>
      <w:r>
        <w:rPr/>
      </w:r>
    </w:p>
    <w:p>
      <w:pPr>
        <w:pStyle w:val="Normal"/>
        <w:bidi w:val="0"/>
        <w:ind w:start="720"/>
        <w:jc w:val="start"/>
        <w:rPr>
          <w:lang w:val="en-US"/>
        </w:rPr>
      </w:pPr>
      <w:r>
        <w:rPr/>
        <w:drawing>
          <wp:inline distT="0" distB="0" distL="0" distR="0">
            <wp:extent cx="4428490" cy="2343150"/>
            <wp:effectExtent l="0" t="0" r="0" b="0"/>
            <wp:docPr id="2" name="Chart 7" descr="chart" titl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aaf1">
    <w:name w:val="Paraaf1"/>
    <w:basedOn w:val="Normal"/>
    <w:qFormat/>
    <w:pPr>
      <w:ind w:start="567" w:end="284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scatterChart>
        <c:scatterStyle val="lineMarker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speed</c:v>
                </c:pt>
              </c:strCache>
            </c:strRef>
          </c:tx>
          <c:spPr>
            <a:solidFill>
              <a:srgbClr val="5b9bd5"/>
            </a:solidFill>
            <a:ln w="25560">
              <a:noFill/>
            </a:ln>
          </c:spPr>
          <c:marker>
            <c:symbol val="circle"/>
            <c:size val="5"/>
            <c:spPr>
              <a:solidFill>
                <a:srgbClr val="5b9bd5"/>
              </a:solidFill>
            </c:spPr>
          </c:marker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leaderLines>
              <c:spPr>
                <a:ln w="2556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cap="rnd" w="19080">
                <a:solidFill>
                  <a:srgbClr val="5b9bd5"/>
                </a:solidFill>
                <a:prstDash val="sysDot"/>
                <a:round/>
              </a:ln>
            </c:spPr>
            <c:trendlineType val="log"/>
            <c:forward val="0"/>
            <c:backward val="0"/>
            <c:dispRSqr val="0"/>
            <c:dispEq val="0"/>
          </c:trendline>
          <c:trendline>
            <c:spPr>
              <a:ln cap="rnd" w="19080">
                <a:solidFill>
                  <a:srgbClr val="5b9bd5"/>
                </a:solidFill>
                <a:prstDash val="sysDot"/>
                <a:round/>
              </a:ln>
            </c:spPr>
            <c:trendlineType val="log"/>
            <c:forward val="0"/>
            <c:backward val="0"/>
            <c:dispRSqr val="0"/>
            <c:dispEq val="0"/>
          </c:trendline>
          <c:trendline>
            <c:spPr>
              <a:ln cap="rnd" w="19080">
                <a:solidFill>
                  <a:srgbClr val="5b9bd5"/>
                </a:solidFill>
                <a:prstDash val="sysDot"/>
                <a:round/>
              </a:ln>
            </c:spPr>
            <c:trendlineType val="linear"/>
            <c:forward val="0"/>
            <c:backward val="0"/>
            <c:dispRSqr val="0"/>
            <c:dispEq val="0"/>
          </c:trendline>
          <c:xVal>
            <c:numRef>
              <c:f>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45</c:v>
                </c:pt>
                <c:pt idx="3">
                  <c:v>60</c:v>
                </c:pt>
                <c:pt idx="4">
                  <c:v>75</c:v>
                </c:pt>
                <c:pt idx="5">
                  <c:v>75</c:v>
                </c:pt>
                <c:pt idx="6">
                  <c:v>180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7"/>
                <c:pt idx="0">
                  <c:v>0.5</c:v>
                </c:pt>
                <c:pt idx="1">
                  <c:v>0.15</c:v>
                </c:pt>
                <c:pt idx="2">
                  <c:v>0.5</c:v>
                </c:pt>
                <c:pt idx="3">
                  <c:v>0.36</c:v>
                </c:pt>
                <c:pt idx="4">
                  <c:v>0.5</c:v>
                </c:pt>
                <c:pt idx="5">
                  <c:v>0.43</c:v>
                </c:pt>
                <c:pt idx="6">
                  <c:v>0.8</c:v>
                </c:pt>
              </c:numCache>
            </c:numRef>
          </c:yVal>
          <c:smooth val="0"/>
        </c:ser>
        <c:axId val="55176829"/>
        <c:axId val="13585251"/>
      </c:scatterChart>
      <c:scatterChart>
        <c:scatterStyle val="lineMarker"/>
        <c:varyColors val="0"/>
        <c:ser>
          <c:idx val="1"/>
          <c:order val="1"/>
          <c:tx>
            <c:strRef>
              <c:f>label 2</c:f>
              <c:strCache>
                <c:ptCount val="1"/>
                <c:pt idx="0">
                  <c:v>CBN</c:v>
                </c:pt>
              </c:strCache>
            </c:strRef>
          </c:tx>
          <c:spPr>
            <a:solidFill>
              <a:srgbClr val="ed7d31"/>
            </a:solidFill>
            <a:ln w="25560">
              <a:noFill/>
            </a:ln>
          </c:spPr>
          <c:marker>
            <c:symbol val="circle"/>
            <c:size val="5"/>
            <c:spPr>
              <a:solidFill>
                <a:srgbClr val="ed7d31"/>
              </a:solidFill>
            </c:spPr>
          </c:marker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leaderLines>
              <c:spPr>
                <a:ln w="2556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cap="rnd" w="19080">
                <a:solidFill>
                  <a:srgbClr val="ed7d31"/>
                </a:solidFill>
                <a:prstDash val="sysDot"/>
                <a:round/>
              </a:ln>
            </c:spPr>
            <c:trendlineType val="linear"/>
            <c:forward val="0"/>
            <c:backward val="0"/>
            <c:dispRSqr val="0"/>
            <c:dispEq val="0"/>
          </c:trendline>
          <c:xVal>
            <c:numRef>
              <c:f>3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45</c:v>
                </c:pt>
                <c:pt idx="3">
                  <c:v>60</c:v>
                </c:pt>
                <c:pt idx="4">
                  <c:v>75</c:v>
                </c:pt>
                <c:pt idx="5">
                  <c:v>75</c:v>
                </c:pt>
                <c:pt idx="6">
                  <c:v>180</c:v>
                </c:pt>
              </c:numCache>
            </c:numRef>
          </c:xVal>
          <c:yVal>
            <c:numRef>
              <c:f>2</c:f>
              <c:numCache>
                <c:formatCode>General</c:formatCode>
                <c:ptCount val="7"/>
                <c:pt idx="0">
                  <c:v>0.01</c:v>
                </c:pt>
                <c:pt idx="1">
                  <c:v>0.02</c:v>
                </c:pt>
                <c:pt idx="2">
                  <c:v>0.00423</c:v>
                </c:pt>
                <c:pt idx="3">
                  <c:v>0.03555</c:v>
                </c:pt>
                <c:pt idx="4">
                  <c:v>0.00713</c:v>
                </c:pt>
                <c:pt idx="5">
                  <c:v>0.03</c:v>
                </c:pt>
                <c:pt idx="6">
                  <c:v>0.05</c:v>
                </c:pt>
              </c:numCache>
            </c:numRef>
          </c:yVal>
          <c:smooth val="0"/>
        </c:ser>
        <c:axId val="50755851"/>
        <c:axId val="51124800"/>
      </c:scatterChart>
      <c:valAx>
        <c:axId val="55176829"/>
        <c:scaling>
          <c:orientation val="minMax"/>
          <c:max val="190"/>
          <c:min val="0"/>
        </c:scaling>
        <c:delete val="0"/>
        <c:axPos val="b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title>
          <c:tx>
            <c:rich>
              <a:bodyPr rot="0"/>
              <a:lstStyle/>
              <a:p>
                <a:pPr>
                  <a:defRPr b="0" sz="1300" strike="noStrike" u="none">
                    <a:uFillTx/>
                    <a:latin typeface="Arial"/>
                  </a:defRPr>
                </a:pPr>
                <a:r>
                  <a:rPr b="0" sz="1300" strike="noStrike" u="none">
                    <a:uFillTx/>
                    <a:latin typeface="Arial"/>
                  </a:rPr>
                  <a:t>
              </a:t>
                </a:r>
                <a:r>
                  <a:rPr b="0" lang="nl-BE" sz="1000" strike="noStrike" u="none">
                    <a:solidFill>
                      <a:srgbClr val="595959"/>
                    </a:solidFill>
                    <a:uFillTx/>
                    <a:latin typeface="Calibri"/>
                  </a:rPr>
                  <a:t>Time (min)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9360">
            <a:solidFill>
              <a:srgbClr val="bfbfbf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13585251"/>
        <c:crosses val="autoZero"/>
        <c:crossBetween val="midCat"/>
      </c:valAx>
      <c:valAx>
        <c:axId val="13585251"/>
        <c:scaling>
          <c:orientation val="minMax"/>
          <c:max val="1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%" sourceLinked="0"/>
        <c:majorTickMark val="none"/>
        <c:minorTickMark val="none"/>
        <c:tickLblPos val="nextTo"/>
        <c:spPr>
          <a:ln w="9360">
            <a:solidFill>
              <a:srgbClr val="bfbfbf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55176829"/>
        <c:crosses val="autoZero"/>
        <c:crossBetween val="midCat"/>
        <c:majorUnit val="0.2"/>
      </c:valAx>
      <c:valAx>
        <c:axId val="50755851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51124800"/>
        <c:crossBetween val="midCat"/>
      </c:valAx>
      <c:valAx>
        <c:axId val="51124800"/>
        <c:scaling>
          <c:orientation val="minMax"/>
          <c:max val="0.05"/>
        </c:scaling>
        <c:delete val="0"/>
        <c:axPos val="r"/>
        <c:numFmt formatCode="0.0%" sourceLinked="0"/>
        <c:majorTickMark val="out"/>
        <c:minorTickMark val="none"/>
        <c:tickLblPos val="nextTo"/>
        <c:spPr>
          <a:ln w="9360">
            <a:solidFill>
              <a:srgbClr val="bfbfbf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50755851"/>
        <c:crosses val="max"/>
        <c:crossBetween val="midCat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145934959349594"/>
          <c:y val="0.128784386045797"/>
          <c:w val="0.822439024390244"/>
          <c:h val="0.61287843860458"/>
        </c:manualLayout>
      </c:layout>
      <c:scatterChart>
        <c:scatterStyle val="lineMarker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speed</c:v>
                </c:pt>
              </c:strCache>
            </c:strRef>
          </c:tx>
          <c:spPr>
            <a:solidFill>
              <a:srgbClr val="5b9bd5"/>
            </a:solidFill>
            <a:ln cap="rnd" w="19080">
              <a:solidFill>
                <a:srgbClr val="5b9bd5"/>
              </a:solidFill>
              <a:round/>
            </a:ln>
          </c:spPr>
          <c:marker>
            <c:symbol val="circle"/>
            <c:size val="5"/>
            <c:spPr>
              <a:solidFill>
                <a:srgbClr val="5b9bd5"/>
              </a:solidFill>
            </c:spPr>
          </c:marker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leaderLines>
              <c:spPr>
                <a:ln w="1908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cap="rnd" w="19080">
                <a:solidFill>
                  <a:srgbClr val="5b9bd5"/>
                </a:solidFill>
                <a:prstDash val="sysDot"/>
                <a:round/>
              </a:ln>
            </c:spPr>
            <c:trendlineType val="log"/>
            <c:forward val="0"/>
            <c:backward val="0"/>
            <c:dispRSqr val="0"/>
            <c:dispEq val="0"/>
          </c:trendline>
          <c:trendline>
            <c:spPr>
              <a:ln cap="rnd" w="19080">
                <a:solidFill>
                  <a:srgbClr val="5b9bd5"/>
                </a:solidFill>
                <a:prstDash val="sysDot"/>
                <a:round/>
              </a:ln>
            </c:spPr>
            <c:trendlineType val="log"/>
            <c:forward val="0"/>
            <c:backward val="0"/>
            <c:dispRSqr val="0"/>
            <c:dispEq val="0"/>
          </c:trendline>
          <c:x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60</c:v>
                </c:pt>
                <c:pt idx="3">
                  <c:v>120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4"/>
                <c:pt idx="0">
                  <c:v>0.2</c:v>
                </c:pt>
                <c:pt idx="1">
                  <c:v>0.75</c:v>
                </c:pt>
                <c:pt idx="2">
                  <c:v>0.9</c:v>
                </c:pt>
                <c:pt idx="3">
                  <c:v>0.97</c:v>
                </c:pt>
              </c:numCache>
            </c:numRef>
          </c:yVal>
          <c:smooth val="1"/>
        </c:ser>
        <c:axId val="2296941"/>
        <c:axId val="95278095"/>
      </c:scatterChart>
      <c:scatterChart>
        <c:scatterStyle val="lineMarker"/>
        <c:varyColors val="0"/>
        <c:ser>
          <c:idx val="1"/>
          <c:order val="1"/>
          <c:tx>
            <c:strRef>
              <c:f>label 2</c:f>
              <c:strCache>
                <c:ptCount val="1"/>
                <c:pt idx="0">
                  <c:v>CBN</c:v>
                </c:pt>
              </c:strCache>
            </c:strRef>
          </c:tx>
          <c:spPr>
            <a:solidFill>
              <a:srgbClr val="ed7d31"/>
            </a:solidFill>
            <a:ln w="25560">
              <a:noFill/>
            </a:ln>
          </c:spPr>
          <c:marker>
            <c:symbol val="circle"/>
            <c:size val="5"/>
            <c:spPr>
              <a:solidFill>
                <a:srgbClr val="ed7d31"/>
              </a:solidFill>
            </c:spPr>
          </c:marker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leaderLines>
              <c:spPr>
                <a:ln w="2556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cap="rnd" w="19080">
                <a:solidFill>
                  <a:srgbClr val="ed7d31"/>
                </a:solidFill>
                <a:prstDash val="sysDot"/>
                <a:round/>
              </a:ln>
            </c:spPr>
            <c:trendlineType val="linear"/>
            <c:forward val="0"/>
            <c:backward val="0"/>
            <c:dispRSqr val="0"/>
            <c:dispEq val="0"/>
          </c:trendline>
          <c:xVal>
            <c:numRef>
              <c:f>3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60</c:v>
                </c:pt>
                <c:pt idx="3">
                  <c:v>120</c:v>
                </c:pt>
              </c:numCache>
            </c:numRef>
          </c:xVal>
          <c:yVal>
            <c:numRef>
              <c:f>2</c:f>
              <c:numCache>
                <c:formatCode>General</c:formatCode>
                <c:ptCount val="4"/>
                <c:pt idx="0">
                  <c:v>0.00133</c:v>
                </c:pt>
                <c:pt idx="1">
                  <c:v>0.00199</c:v>
                </c:pt>
                <c:pt idx="2">
                  <c:v>0.00323</c:v>
                </c:pt>
                <c:pt idx="3">
                  <c:v>0.005</c:v>
                </c:pt>
              </c:numCache>
            </c:numRef>
          </c:yVal>
          <c:smooth val="1"/>
        </c:ser>
        <c:axId val="93417156"/>
        <c:axId val="71452166"/>
      </c:scatterChart>
      <c:valAx>
        <c:axId val="2296941"/>
        <c:scaling>
          <c:orientation val="minMax"/>
          <c:max val="150"/>
          <c:min val="0"/>
        </c:scaling>
        <c:delete val="0"/>
        <c:axPos val="b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title>
          <c:tx>
            <c:rich>
              <a:bodyPr rot="0"/>
              <a:lstStyle/>
              <a:p>
                <a:pPr>
                  <a:defRPr b="0" sz="1300" strike="noStrike" u="none">
                    <a:uFillTx/>
                    <a:latin typeface="Arial"/>
                  </a:defRPr>
                </a:pPr>
                <a:r>
                  <a:rPr b="0" sz="1300" strike="noStrike" u="none">
                    <a:uFillTx/>
                    <a:latin typeface="Arial"/>
                  </a:rPr>
                  <a:t>
              </a:t>
                </a:r>
                <a:r>
                  <a:rPr b="0" lang="nl-BE" sz="1000" strike="noStrike" u="none">
                    <a:solidFill>
                      <a:srgbClr val="595959"/>
                    </a:solidFill>
                    <a:uFillTx/>
                    <a:latin typeface="Calibri"/>
                  </a:rPr>
                  <a:t>Time (min)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9360">
            <a:solidFill>
              <a:srgbClr val="bfbfbf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95278095"/>
        <c:crosses val="autoZero"/>
        <c:crossBetween val="midCat"/>
      </c:valAx>
      <c:valAx>
        <c:axId val="95278095"/>
        <c:scaling>
          <c:orientation val="minMax"/>
          <c:max val="1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%" sourceLinked="0"/>
        <c:majorTickMark val="none"/>
        <c:minorTickMark val="none"/>
        <c:tickLblPos val="nextTo"/>
        <c:spPr>
          <a:ln w="9360">
            <a:solidFill>
              <a:srgbClr val="bfbfbf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2296941"/>
        <c:crosses val="autoZero"/>
        <c:crossBetween val="midCat"/>
      </c:valAx>
      <c:valAx>
        <c:axId val="9341715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</a:defRPr>
            </a:pPr>
          </a:p>
        </c:txPr>
        <c:crossAx val="71452166"/>
        <c:crossBetween val="midCat"/>
      </c:valAx>
      <c:valAx>
        <c:axId val="71452166"/>
        <c:scaling>
          <c:orientation val="minMax"/>
          <c:max val="0.05"/>
        </c:scaling>
        <c:delete val="0"/>
        <c:axPos val="r"/>
        <c:numFmt formatCode="0.0%" sourceLinked="0"/>
        <c:majorTickMark val="out"/>
        <c:minorTickMark val="none"/>
        <c:tickLblPos val="nextTo"/>
        <c:spPr>
          <a:ln w="9360">
            <a:solidFill>
              <a:srgbClr val="bfbfbf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93417156"/>
        <c:crosses val="max"/>
        <c:crossBetween val="midCat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LibreOffice/24.8.6.2$Linux_X86_64 LibreOffice_project/480$Build-2</Application>
  <AppVersion>15.0000</AppVersion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2025-05-07T19:49:17Z</dcterms:created>
  <dc:creator/>
  <dc:description/>
  <dc:language>en-US</dc:language>
  <cp:lastModifiedBy/>
  <dcterms:modified xsi:type="dcterms:W3CDTF">2025-05-07T20:18:39Z</dcterms:modified>
  <cp:revision>3</cp:revision>
  <dc:subject/>
  <dc:title/>
</cp:coreProperties>
</file>