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1"/>
        <w:pBdr/>
        <w:bidi w:val="true"/>
        <w:spacing w:after="0" w:before="0"/>
        <w:ind/>
        <w:rPr/>
      </w:pPr>
      <w:r>
        <w:t xml:space="preserve">מטרה</w:t>
      </w:r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>
        <w:t xml:space="preserve">לאמת את תקינות ואחידות תהליך האיטום באמצעות ביצוע בדיקה חזותית ובדיקת חוזק איטום (בדיקת כוח) לאריזות  בליסטר מולחמות, בהתאם לתקני ASTM1 </w:t>
      </w:r>
      <w:r/>
    </w:p>
    <w:p>
      <w:pPr>
        <w:pBdr/>
        <w:bidi w:val="true"/>
        <w:spacing w:after="0" w:before="0"/>
        <w:ind/>
        <w:rPr/>
      </w:pPr>
      <w:r>
        <w:t xml:space="preserve"> .F1886/F1886M-16 ו.ASTM F88/F88M-</w:t>
      </w:r>
      <w:r/>
    </w:p>
    <w:p>
      <w:pPr>
        <w:pBdr/>
        <w:bidi w:val="true"/>
        <w:spacing w:after="0" w:before="0"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תכולה</w:t>
      </w:r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>
        <w:t xml:space="preserve"> .עבור מכשור דנטלי Nelipak SH-BT1 SLP001 הוראה זו חלה על כל פעולות האריזה שאינן סטריליות המתבצעות במכונת</w:t>
      </w:r>
      <w:r>
        <w:t xml:space="preserve">.</w:t>
      </w:r>
      <w:r/>
    </w:p>
    <w:p>
      <w:pPr>
        <w:pBdr/>
        <w:bidi w:val="true"/>
        <w:spacing w:after="0" w:before="0"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אחריות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מפעיל מכונה : מבצע את הבדיקות החזותיות והכוח לפי תדירות מוגדרת ורושם את התוצאות.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הבטחת איכות ( QA ) בדיקת התיעוד ווידוא של עמידה בדרישות הנהלים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הבטחת איכות (QA): מבטיח כי הציוד מכויל והמפעיל מוסמך לביצוע הפעולה.</w:t>
      </w:r>
      <w:r/>
    </w:p>
    <w:p>
      <w:pPr>
        <w:pBdr/>
        <w:bidi w:val="true"/>
        <w:spacing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ציוד נדרש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מכשיר בדיקת חוזק איטום מכויל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תחנת בדיקה נקייה עם תאורה תקנית (1000 לוקס)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כלי הגדלה (מינימום  X2 )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שעון עצר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REC 2146 # טופס רישום תוצאות בדיקות איטום ובדיקה חזותית</w:t>
      </w:r>
      <w:r/>
    </w:p>
    <w:p>
      <w:pPr>
        <w:pBdr/>
        <w:bidi w:val="true"/>
        <w:spacing/>
        <w:ind/>
        <w:rPr/>
      </w:pPr>
      <w:r/>
      <w:r/>
    </w:p>
    <w:p>
      <w:pPr>
        <w:pBdr/>
        <w:bidi w:val="true"/>
        <w:spacing w:after="0" w:before="0"/>
        <w:ind/>
        <w:rPr/>
      </w:pPr>
      <w:r>
        <w:t xml:space="preserve"> </w:t>
      </w:r>
      <w:r/>
    </w:p>
    <w:p>
      <w:pPr>
        <w:pBdr/>
        <w:bidi w:val="true"/>
        <w:spacing w:after="0" w:before="0"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תדירות בדיקות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בתחילת כל משמרת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לאחר הגדרת מכונה או שינוי תצורה</w:t>
      </w:r>
      <w:r/>
    </w:p>
    <w:p>
      <w:pPr>
        <w:pBdr/>
        <w:bidi w:val="true"/>
        <w:spacing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הוראות  לבדיקה חזותית (ASTM F1886/F1886M-16)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דגום בליסטר אטום אחד מכל CAVITY בתבנית ההלחמה, סה"כ 8 בליסטרים אטומים ממנת הייצור הנוכחית שהולחמו לפני יותר משעה.פתח את הבליסטר, והפרד לגמרי את הטייבק.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בדוק את אזור האיטום תחת תאורת 1000 לוקס ממרחק של 30–45 ס"מ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השתמש בהגדלה לזיהוי פגמים</w:t>
      </w:r>
      <w:r/>
    </w:p>
    <w:p>
      <w:pPr>
        <w:pBdr/>
        <w:bidi w:val="true"/>
        <w:spacing/>
        <w:ind/>
        <w:rPr/>
      </w:pPr>
      <w:r/>
      <w:r/>
    </w:p>
    <w:p>
      <w:pPr>
        <w:pBdr/>
        <w:bidi w:val="true"/>
        <w:spacing w:after="0" w:before="0"/>
        <w:ind/>
        <w:rPr/>
      </w:pPr>
      <w:r>
        <w:t xml:space="preserve">חפש פגמים כמו: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תעלות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קמטים או קיפולים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חלקיקים זרים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איטום חלקי או פתוח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סימני שריפה או חימום יתר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אם נמצאו פגמים, סמן ודווח ל-QA מיידית</w:t>
      </w:r>
      <w:r/>
    </w:p>
    <w:p>
      <w:pPr>
        <w:pBdr/>
        <w:bidi w:val="true"/>
        <w:spacing/>
        <w:ind/>
        <w:rPr/>
      </w:pPr>
      <w:r/>
      <w:r/>
    </w:p>
    <w:p>
      <w:pPr>
        <w:pBdr/>
        <w:bidi w:val="true"/>
        <w:spacing w:after="0" w:before="0"/>
        <w:ind/>
        <w:rPr/>
      </w:pPr>
      <w:r>
        <w:t xml:space="preserve">קריטריוני קבלה: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איטום רציף ללא פגמים נראים לעין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ללא זיהום או לכלוך באזור האיטום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ללא התקלפות או נזק לחומר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רוחב הלחמה מינימלי 6מ"מ.</w:t>
      </w:r>
      <w:r/>
    </w:p>
    <w:p>
      <w:pPr>
        <w:pBdr/>
        <w:bidi w:val="true"/>
        <w:spacing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  <w:r/>
      <w:r/>
    </w:p>
    <w:p>
      <w:pPr>
        <w:pBdr/>
        <w:bidi w:val="true"/>
        <w:spacing w:after="0" w:before="0"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42098" cy="354394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910972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2542097" cy="35439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200.17pt;height:279.0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הוראות לבדיקת חוזק איטום (ASTM F88/F88M-21)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חתוך רצועה ברוחב 15 מ"מ מאזור ההלחמה באריזה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אבטח את הרצועה בלסתות הבודק בזווית 180°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קבע מהירות תנועה של250  מ"מ/דקה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הפעל את הבדיקה ורשום את הכוח המקסימלי הדרוש לפתיחת האיטום</w:t>
      </w:r>
      <w:r/>
    </w:p>
    <w:p>
      <w:pPr>
        <w:pBdr/>
        <w:bidi w:val="true"/>
        <w:spacing/>
        <w:ind/>
        <w:rPr/>
      </w:pPr>
      <w:r/>
      <w:r/>
    </w:p>
    <w:p>
      <w:pPr>
        <w:pBdr/>
        <w:bidi w:val="true"/>
        <w:spacing w:after="0" w:before="0"/>
        <w:ind/>
        <w:rPr/>
      </w:pPr>
      <w:r>
        <w:t xml:space="preserve">קריטריוני קבלה: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חוזק ההלחמה חייב לעמוד בדרישה המינימלית של  (&gt;1.5N)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ההלחמה צריכה להיפתח באופן נקי וללא קריעה של הבליסטר או הטייבק</w:t>
      </w:r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22130" cy="295129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3920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2822130" cy="2951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222.21pt;height:232.39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תיעוד</w:t>
      </w:r>
      <w:r/>
    </w:p>
    <w:p>
      <w:pPr>
        <w:pBdr/>
        <w:bidi w:val="true"/>
        <w:spacing w:after="0" w:before="0"/>
        <w:ind/>
        <w:rPr/>
      </w:pPr>
      <w:r>
        <w:t xml:space="preserve">כל תוצאות הבדיקות יירשמו בטופס רישום בדיקות האיטום REC 2146 # ויכללו: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מס' המכשיר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תאריך ושעת הבדיקה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שם המפעיל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תוצאת הבדיקה (עבר/נכשל)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ערכי חוזק איטום נמדדים ומיקום הדוגמא שנלקחה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הערות מהבדיקה החזותית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מס' האצווה של הבליסטר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מס' האצווה של הטייבק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חתימות המפעיל ו-QA</w:t>
      </w:r>
      <w:r/>
    </w:p>
    <w:p>
      <w:pPr>
        <w:pBdr/>
        <w:bidi w:val="true"/>
        <w:spacing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Bdr/>
        <w:bidi w:val="true"/>
        <w:spacing w:after="0" w:before="0"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טיפול בחריגות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לעצור את המכונה מיידית במקרה של כשל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להפריד ולסמן את המוצר הפגום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לדווח ל-QA ולמנהל הייצור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לבצע תחקיר  על פי נוהל SOP.1085 Nonconformity Process</w:t>
      </w:r>
      <w:r/>
    </w:p>
    <w:p>
      <w:pPr>
        <w:pStyle w:val="928"/>
        <w:pBdr/>
        <w:bidi w:val="true"/>
        <w:spacing w:after="0" w:before="0"/>
        <w:ind/>
        <w:rPr/>
      </w:pPr>
      <w:r>
        <w:t xml:space="preserve">במידה ונדרשות פעולות תיקון, יש לבצע אימות פרמטרים לפני חידוש הייצור</w:t>
      </w:r>
      <w:r/>
    </w:p>
    <w:p>
      <w:pPr>
        <w:pBdr/>
        <w:bidi w:val="true"/>
        <w:spacing/>
        <w:ind/>
        <w:rPr/>
      </w:pPr>
      <w:r/>
      <w:r/>
    </w:p>
    <w:p>
      <w:pPr>
        <w:pStyle w:val="901"/>
        <w:pBdr/>
        <w:bidi w:val="true"/>
        <w:spacing w:after="0" w:before="0"/>
        <w:ind/>
        <w:rPr/>
      </w:pPr>
      <w:r>
        <w:t xml:space="preserve">היסטוריית שינויים</w:t>
      </w:r>
      <w:r/>
    </w:p>
    <w:p>
      <w:pPr>
        <w:pBdr/>
        <w:bidi w:val="true"/>
        <w:spacing w:after="0" w:before="0"/>
        <w:ind/>
        <w:rPr/>
      </w:pPr>
      <w:r/>
      <w:r/>
    </w:p>
    <w:tbl>
      <w:tblPr>
        <w:tblW w:w="0" w:type="auto"/>
        <w:tblBorders/>
        <w:tblLook w:val="04A0" w:firstRow="1" w:lastRow="0" w:firstColumn="1" w:lastColumn="0" w:noHBand="0" w:noVBand="1"/>
        <w:tblStyle w:val="930"/>
      </w:tblPr>
      <w:tblGrid>
        <w:gridCol w:w="2266"/>
        <w:gridCol w:w="2266"/>
        <w:gridCol w:w="2266"/>
        <w:gridCol w:w="2266"/>
      </w:tblGrid>
      <w:tr>
        <w:trPr/>
        <w:tc>
          <w:tcPr>
            <w:shd w:val="clear" w:color="auto" w:fill="d0eaef"/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rPr>
                <w:b/>
              </w:rPr>
              <w:t xml:space="preserve">בקרת שינוי</w:t>
            </w:r>
            <w:r/>
          </w:p>
        </w:tc>
        <w:tc>
          <w:tcPr>
            <w:shd w:val="clear" w:color="auto" w:fill="d0eaef"/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rPr>
                <w:b/>
              </w:rPr>
              <w:t xml:space="preserve">שינוי</w:t>
            </w:r>
            <w:r/>
          </w:p>
        </w:tc>
        <w:tc>
          <w:tcPr>
            <w:shd w:val="clear" w:color="auto" w:fill="d0eaef"/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rPr>
                <w:b/>
              </w:rPr>
              <w:t xml:space="preserve">נוצר על ידי</w:t>
            </w:r>
            <w:r/>
          </w:p>
        </w:tc>
        <w:tc>
          <w:tcPr>
            <w:shd w:val="clear" w:color="auto" w:fill="d0eaef"/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rPr>
                <w:b/>
              </w:rPr>
              <w:t xml:space="preserve">גרסה</w:t>
            </w:r>
            <w:r/>
          </w:p>
        </w:tc>
      </w:tr>
      <w:tr>
        <w:trPr/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גרסה ראשונה</w:t>
            </w:r>
            <w:r/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מסמך חדש</w:t>
            </w:r>
            <w:r/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רועי אביטן, מנהל איכות</w:t>
            </w:r>
            <w:r/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1</w:t>
            </w:r>
            <w:r/>
          </w:p>
        </w:tc>
      </w:tr>
      <w:tr>
        <w:trPr/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נדרש אישור קריאה</w:t>
            </w:r>
            <w:r/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הוספת תמונות בליסטר עדכניות</w:t>
            </w:r>
            <w:r/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רועי אביטן, מנהל איכות</w:t>
            </w:r>
            <w:r/>
          </w:p>
        </w:tc>
        <w:tc>
          <w:tcPr>
            <w:tcBorders/>
            <w:tcW w:w="2266" w:type="dxa"/>
            <w:textDirection w:val="lrTb"/>
            <w:noWrap w:val="false"/>
          </w:tcPr>
          <w:p>
            <w:pPr>
              <w:pBdr/>
              <w:bidi w:val="true"/>
              <w:spacing w:after="0" w:before="0"/>
              <w:ind/>
              <w:rPr/>
            </w:pPr>
            <w:r>
              <w:t xml:space="preserve">2</w:t>
            </w:r>
            <w:r/>
          </w:p>
        </w:tc>
      </w:tr>
    </w:tbl>
    <w:p>
      <w:pPr>
        <w:pBdr/>
        <w:bidi w:val="true"/>
        <w:spacing/>
        <w:ind/>
        <w:rPr/>
      </w:pPr>
      <w:r/>
      <w:r/>
    </w:p>
    <w:sectPr>
      <w:footnotePr/>
      <w:endnotePr/>
      <w:type w:val="nextPage"/>
      <w:pgSz w:h="16840" w:orient="portrait" w:w="11900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upperRoman"/>
      <w:pPr>
        <w:pBdr/>
        <w:spacing/>
        <w:ind w:firstLine="0" w:left="0"/>
      </w:pPr>
      <w:rPr/>
      <w:start w:val="1"/>
      <w:suff w:val="tab"/>
    </w:lvl>
    <w:lvl w:ilvl="1">
      <w:isLgl w:val="false"/>
      <w:lvlJc w:val="left"/>
      <w:lvlText w:val="%2."/>
      <w:numFmt w:val="upperLetter"/>
      <w:pPr>
        <w:pBdr/>
        <w:spacing/>
        <w:ind w:firstLine="0" w:left="72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spacing/>
        <w:ind w:firstLine="0" w:left="1440"/>
      </w:pPr>
      <w:rPr/>
      <w:start w:val="1"/>
      <w:suff w:val="tab"/>
    </w:lvl>
    <w:lvl w:ilvl="3">
      <w:isLgl w:val="false"/>
      <w:lvlJc w:val="left"/>
      <w:lvlText w:val="%4)"/>
      <w:numFmt w:val="lowerLetter"/>
      <w:pPr>
        <w:pBdr/>
        <w:spacing/>
        <w:ind w:firstLine="0" w:left="2160"/>
      </w:pPr>
      <w:rPr>
        <w:color w:val="000000" w:themeColor="text1"/>
      </w:rPr>
      <w:start w:val="1"/>
      <w:suff w:val="tab"/>
    </w:lvl>
    <w:lvl w:ilvl="4">
      <w:isLgl w:val="false"/>
      <w:lvlJc w:val="left"/>
      <w:lvlText w:val="(%5)"/>
      <w:numFmt w:val="decimal"/>
      <w:pPr>
        <w:pBdr/>
        <w:spacing/>
        <w:ind w:firstLine="0" w:left="2880"/>
      </w:pPr>
      <w:rPr>
        <w:color w:val="000000" w:themeColor="text1"/>
      </w:rPr>
      <w:start w:val="1"/>
      <w:suff w:val="tab"/>
    </w:lvl>
    <w:lvl w:ilvl="5">
      <w:isLgl w:val="false"/>
      <w:lvlJc w:val="left"/>
      <w:lvlText w:val="(%6)"/>
      <w:numFmt w:val="lowerLetter"/>
      <w:pPr>
        <w:pBdr/>
        <w:spacing/>
        <w:ind w:firstLine="0" w:left="3600"/>
      </w:pPr>
      <w:rPr/>
      <w:start w:val="1"/>
      <w:suff w:val="tab"/>
    </w:lvl>
    <w:lvl w:ilvl="6">
      <w:isLgl w:val="false"/>
      <w:lvlJc w:val="left"/>
      <w:lvlText w:val="(%7)"/>
      <w:numFmt w:val="lowerRoman"/>
      <w:pPr>
        <w:pBdr/>
        <w:spacing/>
        <w:ind w:firstLine="0" w:left="4320"/>
      </w:pPr>
      <w:rPr/>
      <w:start w:val="1"/>
      <w:suff w:val="tab"/>
    </w:lvl>
    <w:lvl w:ilvl="7">
      <w:isLgl w:val="false"/>
      <w:lvlJc w:val="left"/>
      <w:lvlText w:val="(%8)"/>
      <w:numFmt w:val="lowerLetter"/>
      <w:pPr>
        <w:pBdr/>
        <w:spacing/>
        <w:ind w:firstLine="0" w:left="5040"/>
      </w:pPr>
      <w:rPr/>
      <w:start w:val="1"/>
      <w:suff w:val="tab"/>
    </w:lvl>
    <w:lvl w:ilvl="8">
      <w:isLgl w:val="false"/>
      <w:lvlJc w:val="left"/>
      <w:lvlText w:val="(%9)"/>
      <w:numFmt w:val="lowerRoman"/>
      <w:pPr>
        <w:pBdr/>
        <w:spacing/>
        <w:ind w:firstLine="0" w:left="5760"/>
      </w:pPr>
      <w:rPr/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pStyle w:val="929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hanging="432" w:left="432"/>
      </w:pPr>
      <w:pStyle w:val="901"/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pStyle w:val="902"/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pStyle w:val="903"/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pStyle w:val="904"/>
      <w:rPr>
        <w:color w:val="000000" w:themeColor="text1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pStyle w:val="905"/>
      <w:rPr>
        <w:color w:val="000000" w:themeColor="text1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pStyle w:val="906"/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pStyle w:val="907"/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pStyle w:val="908"/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pStyle w:val="909"/>
      <w:rPr/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spacing/>
        <w:ind w:hanging="360" w:left="720"/>
      </w:pPr>
      <w:pStyle w:val="928"/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36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color w:val="000000" w:themeColor="text1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color w:val="000000" w:themeColor="text1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abstractNum w:abstractNumId="14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>
        <w:color w:val="000000" w:themeColor="text1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>
        <w:color w:val="000000" w:themeColor="text1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tab"/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5"/>
  </w:num>
  <w:num w:numId="5">
    <w:abstractNumId w:val="0"/>
  </w:num>
  <w:num w:numId="6">
    <w:abstractNumId w:val="10"/>
  </w:num>
  <w:num w:numId="7">
    <w:abstractNumId w:val="12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  <w:num w:numId="12">
    <w:abstractNumId w:val="6"/>
  </w:num>
  <w:num w:numId="13">
    <w:abstractNumId w:val="7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304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Bidi"/>
        <w:sz w:val="24"/>
        <w:szCs w:val="24"/>
        <w:lang w:val="sv-SE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>
    <w:name w:val="Table Grid Light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9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9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9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9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eading 1 Char"/>
    <w:basedOn w:val="910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8">
    <w:name w:val="Heading 2 Char"/>
    <w:basedOn w:val="910"/>
    <w:link w:val="9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9">
    <w:name w:val="Heading 3 Char"/>
    <w:basedOn w:val="910"/>
    <w:link w:val="9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0">
    <w:name w:val="Heading 4 Char"/>
    <w:basedOn w:val="910"/>
    <w:link w:val="9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1">
    <w:name w:val="Heading 5 Char"/>
    <w:basedOn w:val="910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2">
    <w:name w:val="Heading 6 Char"/>
    <w:basedOn w:val="910"/>
    <w:link w:val="9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>
    <w:name w:val="Heading 7 Char"/>
    <w:basedOn w:val="910"/>
    <w:link w:val="9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>
    <w:name w:val="Heading 8 Char"/>
    <w:basedOn w:val="910"/>
    <w:link w:val="9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9 Char"/>
    <w:basedOn w:val="910"/>
    <w:link w:val="9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Title Char"/>
    <w:basedOn w:val="910"/>
    <w:link w:val="9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>
    <w:name w:val="Subtitle Char"/>
    <w:basedOn w:val="910"/>
    <w:link w:val="9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8">
    <w:name w:val="Quote"/>
    <w:basedOn w:val="900"/>
    <w:next w:val="900"/>
    <w:link w:val="86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9">
    <w:name w:val="Quote Char"/>
    <w:basedOn w:val="910"/>
    <w:link w:val="86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0">
    <w:name w:val="Intense Emphasis"/>
    <w:basedOn w:val="9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1">
    <w:name w:val="Intense Quote"/>
    <w:basedOn w:val="900"/>
    <w:next w:val="900"/>
    <w:link w:val="87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2">
    <w:name w:val="Intense Quote Char"/>
    <w:basedOn w:val="910"/>
    <w:link w:val="87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3">
    <w:name w:val="Intense Reference"/>
    <w:basedOn w:val="9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4">
    <w:name w:val="No Spacing"/>
    <w:basedOn w:val="900"/>
    <w:uiPriority w:val="1"/>
    <w:qFormat/>
    <w:pPr>
      <w:pBdr/>
      <w:spacing w:after="0" w:line="240" w:lineRule="auto"/>
      <w:ind/>
    </w:pPr>
  </w:style>
  <w:style w:type="character" w:styleId="875">
    <w:name w:val="Subtle Emphasis"/>
    <w:basedOn w:val="9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6">
    <w:name w:val="Emphasis"/>
    <w:basedOn w:val="910"/>
    <w:uiPriority w:val="20"/>
    <w:qFormat/>
    <w:pPr>
      <w:pBdr/>
      <w:spacing/>
      <w:ind/>
    </w:pPr>
    <w:rPr>
      <w:i/>
      <w:iCs/>
    </w:rPr>
  </w:style>
  <w:style w:type="character" w:styleId="877">
    <w:name w:val="Strong"/>
    <w:basedOn w:val="910"/>
    <w:uiPriority w:val="22"/>
    <w:qFormat/>
    <w:pPr>
      <w:pBdr/>
      <w:spacing/>
      <w:ind/>
    </w:pPr>
    <w:rPr>
      <w:b/>
      <w:bCs/>
    </w:rPr>
  </w:style>
  <w:style w:type="character" w:styleId="878">
    <w:name w:val="Subtle Reference"/>
    <w:basedOn w:val="9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9">
    <w:name w:val="Book Title"/>
    <w:basedOn w:val="91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80">
    <w:name w:val="Header"/>
    <w:basedOn w:val="900"/>
    <w:link w:val="88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1">
    <w:name w:val="Header Char"/>
    <w:basedOn w:val="910"/>
    <w:link w:val="880"/>
    <w:uiPriority w:val="99"/>
    <w:pPr>
      <w:pBdr/>
      <w:spacing/>
      <w:ind/>
    </w:pPr>
  </w:style>
  <w:style w:type="paragraph" w:styleId="882">
    <w:name w:val="Footer"/>
    <w:basedOn w:val="900"/>
    <w:link w:val="88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3">
    <w:name w:val="Footer Char"/>
    <w:basedOn w:val="910"/>
    <w:link w:val="882"/>
    <w:uiPriority w:val="99"/>
    <w:pPr>
      <w:pBdr/>
      <w:spacing/>
      <w:ind/>
    </w:pPr>
  </w:style>
  <w:style w:type="paragraph" w:styleId="884">
    <w:name w:val="Caption"/>
    <w:basedOn w:val="900"/>
    <w:next w:val="9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5">
    <w:name w:val="footnote text"/>
    <w:basedOn w:val="900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>
    <w:name w:val="Footnote Text Char"/>
    <w:basedOn w:val="910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foot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paragraph" w:styleId="888">
    <w:name w:val="endnote text"/>
    <w:basedOn w:val="900"/>
    <w:link w:val="88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9">
    <w:name w:val="Endnote Text Char"/>
    <w:basedOn w:val="910"/>
    <w:link w:val="888"/>
    <w:uiPriority w:val="99"/>
    <w:semiHidden/>
    <w:pPr>
      <w:pBdr/>
      <w:spacing/>
      <w:ind/>
    </w:pPr>
    <w:rPr>
      <w:sz w:val="20"/>
      <w:szCs w:val="20"/>
    </w:rPr>
  </w:style>
  <w:style w:type="character" w:styleId="890">
    <w:name w:val="endnote reference"/>
    <w:basedOn w:val="910"/>
    <w:uiPriority w:val="99"/>
    <w:semiHidden/>
    <w:unhideWhenUsed/>
    <w:pPr>
      <w:pBdr/>
      <w:spacing/>
      <w:ind/>
    </w:pPr>
    <w:rPr>
      <w:vertAlign w:val="superscript"/>
    </w:rPr>
  </w:style>
  <w:style w:type="character" w:styleId="891">
    <w:name w:val="FollowedHyperlink"/>
    <w:basedOn w:val="9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2">
    <w:name w:val="toc 5"/>
    <w:basedOn w:val="900"/>
    <w:next w:val="900"/>
    <w:uiPriority w:val="39"/>
    <w:unhideWhenUsed/>
    <w:pPr>
      <w:pBdr/>
      <w:spacing w:after="100"/>
      <w:ind w:left="880"/>
    </w:pPr>
  </w:style>
  <w:style w:type="paragraph" w:styleId="893">
    <w:name w:val="toc 6"/>
    <w:basedOn w:val="900"/>
    <w:next w:val="900"/>
    <w:uiPriority w:val="39"/>
    <w:unhideWhenUsed/>
    <w:pPr>
      <w:pBdr/>
      <w:spacing w:after="100"/>
      <w:ind w:left="1100"/>
    </w:pPr>
  </w:style>
  <w:style w:type="paragraph" w:styleId="894">
    <w:name w:val="toc 7"/>
    <w:basedOn w:val="900"/>
    <w:next w:val="900"/>
    <w:uiPriority w:val="39"/>
    <w:unhideWhenUsed/>
    <w:pPr>
      <w:pBdr/>
      <w:spacing w:after="100"/>
      <w:ind w:left="1320"/>
    </w:pPr>
  </w:style>
  <w:style w:type="paragraph" w:styleId="895">
    <w:name w:val="toc 8"/>
    <w:basedOn w:val="900"/>
    <w:next w:val="900"/>
    <w:uiPriority w:val="39"/>
    <w:unhideWhenUsed/>
    <w:pPr>
      <w:pBdr/>
      <w:spacing w:after="100"/>
      <w:ind w:left="1540"/>
    </w:pPr>
  </w:style>
  <w:style w:type="paragraph" w:styleId="896">
    <w:name w:val="toc 9"/>
    <w:basedOn w:val="900"/>
    <w:next w:val="900"/>
    <w:uiPriority w:val="39"/>
    <w:unhideWhenUsed/>
    <w:pPr>
      <w:pBdr/>
      <w:spacing w:after="100"/>
      <w:ind w:left="1760"/>
    </w:pPr>
  </w:style>
  <w:style w:type="character" w:styleId="897">
    <w:name w:val="Placeholder Text"/>
    <w:basedOn w:val="910"/>
    <w:uiPriority w:val="99"/>
    <w:semiHidden/>
    <w:pPr>
      <w:pBdr/>
      <w:spacing/>
      <w:ind/>
    </w:pPr>
    <w:rPr>
      <w:color w:val="666666"/>
    </w:r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basedOn w:val="900"/>
    <w:next w:val="900"/>
    <w:uiPriority w:val="99"/>
    <w:unhideWhenUsed/>
    <w:pPr>
      <w:pBdr/>
      <w:spacing w:after="0" w:afterAutospacing="0"/>
      <w:ind/>
    </w:pPr>
  </w:style>
  <w:style w:type="paragraph" w:styleId="900" w:default="1">
    <w:name w:val="Normal"/>
    <w:qFormat/>
    <w:pPr>
      <w:pBdr/>
      <w:spacing/>
      <w:ind/>
    </w:pPr>
    <w:rPr>
      <w:rFonts w:ascii="Arial" w:hAnsi="Arial" w:cs="Arial"/>
      <w:sz w:val="22"/>
      <w:lang w:eastAsia="sv-SE"/>
    </w:rPr>
  </w:style>
  <w:style w:type="paragraph" w:styleId="901">
    <w:name w:val="Heading 1"/>
    <w:basedOn w:val="931"/>
    <w:next w:val="900"/>
    <w:link w:val="913"/>
    <w:uiPriority w:val="9"/>
    <w:qFormat/>
    <w:pPr>
      <w:keepNext w:val="true"/>
      <w:keepLines w:val="true"/>
      <w:numPr>
        <w:numId w:val="2"/>
      </w:numPr>
      <w:pBdr/>
      <w:spacing w:before="240"/>
      <w:ind/>
      <w:outlineLvl w:val="0"/>
    </w:pPr>
    <w:rPr>
      <w:rFonts w:ascii="Arial" w:hAnsi="Arial"/>
      <w:b/>
      <w:color w:val="000000" w:themeColor="text1"/>
      <w:sz w:val="28"/>
      <w:szCs w:val="28"/>
    </w:rPr>
  </w:style>
  <w:style w:type="paragraph" w:styleId="902">
    <w:name w:val="Heading 2"/>
    <w:basedOn w:val="931"/>
    <w:next w:val="900"/>
    <w:link w:val="914"/>
    <w:uiPriority w:val="9"/>
    <w:unhideWhenUsed/>
    <w:qFormat/>
    <w:pPr>
      <w:keepNext w:val="true"/>
      <w:keepLines w:val="true"/>
      <w:numPr>
        <w:ilvl w:val="1"/>
        <w:numId w:val="2"/>
      </w:numPr>
      <w:pBdr/>
      <w:spacing w:before="40"/>
      <w:ind/>
      <w:outlineLvl w:val="1"/>
    </w:pPr>
    <w:rPr>
      <w:rFonts w:ascii="Arial" w:hAnsi="Arial"/>
      <w:b/>
      <w:color w:val="000000" w:themeColor="text1"/>
      <w:sz w:val="28"/>
      <w:szCs w:val="28"/>
    </w:rPr>
  </w:style>
  <w:style w:type="paragraph" w:styleId="903">
    <w:name w:val="Heading 3"/>
    <w:basedOn w:val="931"/>
    <w:next w:val="900"/>
    <w:link w:val="915"/>
    <w:uiPriority w:val="9"/>
    <w:unhideWhenUsed/>
    <w:qFormat/>
    <w:pPr>
      <w:keepNext w:val="true"/>
      <w:keepLines w:val="true"/>
      <w:numPr>
        <w:ilvl w:val="2"/>
        <w:numId w:val="2"/>
      </w:numPr>
      <w:pBdr/>
      <w:spacing w:before="40"/>
      <w:ind/>
      <w:outlineLvl w:val="2"/>
    </w:pPr>
    <w:rPr>
      <w:rFonts w:ascii="Arial" w:hAnsi="Arial"/>
      <w:b/>
      <w:color w:val="000000" w:themeColor="text1"/>
      <w:sz w:val="22"/>
    </w:rPr>
  </w:style>
  <w:style w:type="paragraph" w:styleId="904">
    <w:name w:val="Heading 4"/>
    <w:basedOn w:val="931"/>
    <w:next w:val="900"/>
    <w:link w:val="916"/>
    <w:uiPriority w:val="9"/>
    <w:unhideWhenUsed/>
    <w:qFormat/>
    <w:pPr>
      <w:keepNext w:val="true"/>
      <w:keepLines w:val="true"/>
      <w:numPr>
        <w:ilvl w:val="3"/>
        <w:numId w:val="2"/>
      </w:numPr>
      <w:pBdr/>
      <w:spacing w:before="40"/>
      <w:ind/>
      <w:outlineLvl w:val="3"/>
    </w:pPr>
    <w:rPr>
      <w:rFonts w:ascii="Arial" w:hAnsi="Arial"/>
      <w:iCs/>
      <w:color w:val="000000" w:themeColor="text1"/>
      <w:sz w:val="22"/>
    </w:rPr>
  </w:style>
  <w:style w:type="paragraph" w:styleId="905">
    <w:name w:val="Heading 5"/>
    <w:basedOn w:val="931"/>
    <w:next w:val="900"/>
    <w:link w:val="917"/>
    <w:uiPriority w:val="9"/>
    <w:unhideWhenUsed/>
    <w:qFormat/>
    <w:pPr>
      <w:keepNext w:val="true"/>
      <w:keepLines w:val="true"/>
      <w:numPr>
        <w:ilvl w:val="4"/>
        <w:numId w:val="2"/>
      </w:numPr>
      <w:pBdr/>
      <w:spacing w:before="40"/>
      <w:ind/>
      <w:outlineLvl w:val="4"/>
    </w:pPr>
    <w:rPr>
      <w:rFonts w:ascii="Arial" w:hAnsi="Arial"/>
      <w:color w:val="000000" w:themeColor="text1"/>
      <w:sz w:val="22"/>
    </w:rPr>
  </w:style>
  <w:style w:type="paragraph" w:styleId="906">
    <w:name w:val="Heading 6"/>
    <w:basedOn w:val="931"/>
    <w:next w:val="900"/>
    <w:link w:val="918"/>
    <w:uiPriority w:val="9"/>
    <w:unhideWhenUsed/>
    <w:qFormat/>
    <w:pPr>
      <w:keepNext w:val="true"/>
      <w:keepLines w:val="true"/>
      <w:numPr>
        <w:ilvl w:val="5"/>
        <w:numId w:val="2"/>
      </w:numPr>
      <w:pBdr/>
      <w:spacing w:before="40"/>
      <w:ind/>
      <w:outlineLvl w:val="5"/>
    </w:pPr>
    <w:rPr>
      <w:rFonts w:ascii="Arial" w:hAnsi="Arial"/>
      <w:color w:val="000000" w:themeColor="text1"/>
      <w:sz w:val="22"/>
    </w:rPr>
  </w:style>
  <w:style w:type="paragraph" w:styleId="907">
    <w:name w:val="Heading 7"/>
    <w:basedOn w:val="931"/>
    <w:next w:val="900"/>
    <w:link w:val="919"/>
    <w:uiPriority w:val="9"/>
    <w:unhideWhenUsed/>
    <w:qFormat/>
    <w:pPr>
      <w:keepNext w:val="true"/>
      <w:keepLines w:val="true"/>
      <w:numPr>
        <w:ilvl w:val="6"/>
        <w:numId w:val="2"/>
      </w:numPr>
      <w:pBdr/>
      <w:spacing w:before="40"/>
      <w:ind/>
      <w:outlineLvl w:val="6"/>
    </w:pPr>
    <w:rPr>
      <w:rFonts w:ascii="Arial" w:hAnsi="Arial"/>
      <w:iCs/>
      <w:color w:val="000000" w:themeColor="text1"/>
      <w:sz w:val="22"/>
    </w:rPr>
  </w:style>
  <w:style w:type="paragraph" w:styleId="908">
    <w:name w:val="Heading 8"/>
    <w:basedOn w:val="931"/>
    <w:next w:val="900"/>
    <w:link w:val="920"/>
    <w:uiPriority w:val="9"/>
    <w:unhideWhenUsed/>
    <w:qFormat/>
    <w:pPr>
      <w:keepNext w:val="true"/>
      <w:keepLines w:val="true"/>
      <w:numPr>
        <w:ilvl w:val="7"/>
        <w:numId w:val="2"/>
      </w:numPr>
      <w:pBdr/>
      <w:spacing w:before="40"/>
      <w:ind/>
      <w:outlineLvl w:val="7"/>
    </w:pPr>
    <w:rPr>
      <w:rFonts w:ascii="Arial" w:hAnsi="Arial"/>
      <w:color w:val="000000" w:themeColor="text1"/>
      <w:sz w:val="22"/>
      <w:szCs w:val="21"/>
    </w:rPr>
  </w:style>
  <w:style w:type="paragraph" w:styleId="909">
    <w:name w:val="Heading 9"/>
    <w:basedOn w:val="931"/>
    <w:next w:val="900"/>
    <w:link w:val="921"/>
    <w:uiPriority w:val="9"/>
    <w:unhideWhenUsed/>
    <w:qFormat/>
    <w:pPr>
      <w:keepNext w:val="true"/>
      <w:keepLines w:val="true"/>
      <w:numPr>
        <w:ilvl w:val="8"/>
        <w:numId w:val="2"/>
      </w:numPr>
      <w:pBdr/>
      <w:spacing w:before="40"/>
      <w:ind/>
      <w:outlineLvl w:val="8"/>
    </w:pPr>
    <w:rPr>
      <w:rFonts w:ascii="Arial" w:hAnsi="Arial"/>
      <w:iCs/>
      <w:color w:val="000000" w:themeColor="text1"/>
      <w:sz w:val="22"/>
      <w:szCs w:val="21"/>
    </w:rPr>
  </w:style>
  <w:style w:type="character" w:styleId="910" w:default="1">
    <w:name w:val="Default Paragraph Font"/>
    <w:uiPriority w:val="1"/>
    <w:semiHidden/>
    <w:unhideWhenUsed/>
    <w:pPr>
      <w:pBdr/>
      <w:spacing/>
      <w:ind/>
    </w:pPr>
  </w:style>
  <w:style w:type="table" w:styleId="9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2" w:default="1">
    <w:name w:val="No List"/>
    <w:uiPriority w:val="99"/>
    <w:semiHidden/>
    <w:unhideWhenUsed/>
    <w:pPr>
      <w:pBdr/>
      <w:spacing/>
      <w:ind/>
    </w:pPr>
  </w:style>
  <w:style w:type="character" w:styleId="913" w:customStyle="1">
    <w:name w:val="Rubrik 1 Char"/>
    <w:basedOn w:val="910"/>
    <w:link w:val="901"/>
    <w:uiPriority w:val="9"/>
    <w:pPr>
      <w:pBdr/>
      <w:spacing/>
      <w:ind/>
    </w:pPr>
    <w:rPr>
      <w:rFonts w:ascii="Arial" w:hAnsi="Arial" w:eastAsiaTheme="majorEastAsia" w:cstheme="majorBidi"/>
      <w:b/>
      <w:color w:val="000000" w:themeColor="text1"/>
      <w:spacing w:val="-10"/>
      <w:sz w:val="28"/>
      <w:szCs w:val="28"/>
      <w:lang w:eastAsia="sv-SE"/>
    </w:rPr>
  </w:style>
  <w:style w:type="character" w:styleId="914" w:customStyle="1">
    <w:name w:val="Rubrik 2 Char"/>
    <w:basedOn w:val="910"/>
    <w:link w:val="902"/>
    <w:uiPriority w:val="9"/>
    <w:pPr>
      <w:pBdr/>
      <w:spacing/>
      <w:ind/>
    </w:pPr>
    <w:rPr>
      <w:rFonts w:ascii="Arial" w:hAnsi="Arial" w:eastAsiaTheme="majorEastAsia" w:cstheme="majorBidi"/>
      <w:b/>
      <w:color w:val="000000" w:themeColor="text1"/>
      <w:spacing w:val="-10"/>
      <w:sz w:val="28"/>
      <w:szCs w:val="28"/>
      <w:lang w:eastAsia="sv-SE"/>
    </w:rPr>
  </w:style>
  <w:style w:type="character" w:styleId="915" w:customStyle="1">
    <w:name w:val="Rubrik 3 Char"/>
    <w:basedOn w:val="910"/>
    <w:link w:val="903"/>
    <w:uiPriority w:val="9"/>
    <w:pPr>
      <w:pBdr/>
      <w:spacing/>
      <w:ind/>
    </w:pPr>
    <w:rPr>
      <w:rFonts w:ascii="Arial" w:hAnsi="Arial" w:eastAsiaTheme="majorEastAsia" w:cstheme="majorBidi"/>
      <w:b/>
      <w:color w:val="000000" w:themeColor="text1"/>
      <w:spacing w:val="-10"/>
      <w:sz w:val="22"/>
      <w:szCs w:val="56"/>
      <w:lang w:eastAsia="sv-SE"/>
    </w:rPr>
  </w:style>
  <w:style w:type="character" w:styleId="916" w:customStyle="1">
    <w:name w:val="Rubrik 4 Char"/>
    <w:basedOn w:val="910"/>
    <w:link w:val="904"/>
    <w:uiPriority w:val="9"/>
    <w:pPr>
      <w:pBdr/>
      <w:spacing/>
      <w:ind/>
    </w:pPr>
    <w:rPr>
      <w:rFonts w:ascii="Arial" w:hAnsi="Arial" w:eastAsiaTheme="majorEastAsia" w:cstheme="majorBidi"/>
      <w:iCs/>
      <w:color w:val="000000" w:themeColor="text1"/>
      <w:spacing w:val="-10"/>
      <w:sz w:val="22"/>
      <w:szCs w:val="56"/>
      <w:lang w:eastAsia="sv-SE"/>
    </w:rPr>
  </w:style>
  <w:style w:type="character" w:styleId="917" w:customStyle="1">
    <w:name w:val="Rubrik 5 Char"/>
    <w:basedOn w:val="910"/>
    <w:link w:val="905"/>
    <w:uiPriority w:val="9"/>
    <w:pPr>
      <w:pBdr/>
      <w:spacing/>
      <w:ind/>
    </w:pPr>
    <w:rPr>
      <w:rFonts w:ascii="Arial" w:hAnsi="Arial" w:eastAsiaTheme="majorEastAsia" w:cstheme="majorBidi"/>
      <w:color w:val="000000" w:themeColor="text1"/>
      <w:spacing w:val="-10"/>
      <w:sz w:val="22"/>
      <w:szCs w:val="56"/>
      <w:lang w:eastAsia="sv-SE"/>
    </w:rPr>
  </w:style>
  <w:style w:type="character" w:styleId="918" w:customStyle="1">
    <w:name w:val="Rubrik 6 Char"/>
    <w:basedOn w:val="910"/>
    <w:link w:val="906"/>
    <w:uiPriority w:val="9"/>
    <w:pPr>
      <w:pBdr/>
      <w:spacing/>
      <w:ind/>
    </w:pPr>
    <w:rPr>
      <w:rFonts w:ascii="Arial" w:hAnsi="Arial" w:eastAsiaTheme="majorEastAsia" w:cstheme="majorBidi"/>
      <w:color w:val="000000" w:themeColor="text1"/>
      <w:spacing w:val="-10"/>
      <w:sz w:val="22"/>
      <w:szCs w:val="56"/>
      <w:lang w:eastAsia="sv-SE"/>
    </w:rPr>
  </w:style>
  <w:style w:type="character" w:styleId="919" w:customStyle="1">
    <w:name w:val="Rubrik 7 Char"/>
    <w:basedOn w:val="910"/>
    <w:link w:val="907"/>
    <w:uiPriority w:val="9"/>
    <w:pPr>
      <w:pBdr/>
      <w:spacing/>
      <w:ind/>
    </w:pPr>
    <w:rPr>
      <w:rFonts w:ascii="Arial" w:hAnsi="Arial" w:eastAsiaTheme="majorEastAsia" w:cstheme="majorBidi"/>
      <w:iCs/>
      <w:color w:val="000000" w:themeColor="text1"/>
      <w:spacing w:val="-10"/>
      <w:sz w:val="22"/>
      <w:szCs w:val="56"/>
      <w:lang w:eastAsia="sv-SE"/>
    </w:rPr>
  </w:style>
  <w:style w:type="character" w:styleId="920" w:customStyle="1">
    <w:name w:val="Rubrik 8 Char"/>
    <w:basedOn w:val="910"/>
    <w:link w:val="908"/>
    <w:uiPriority w:val="9"/>
    <w:pPr>
      <w:pBdr/>
      <w:spacing/>
      <w:ind/>
    </w:pPr>
    <w:rPr>
      <w:rFonts w:ascii="Arial" w:hAnsi="Arial" w:eastAsiaTheme="majorEastAsia" w:cstheme="majorBidi"/>
      <w:color w:val="000000" w:themeColor="text1"/>
      <w:spacing w:val="-10"/>
      <w:sz w:val="22"/>
      <w:szCs w:val="21"/>
      <w:lang w:eastAsia="sv-SE"/>
    </w:rPr>
  </w:style>
  <w:style w:type="character" w:styleId="921" w:customStyle="1">
    <w:name w:val="Rubrik 9 Char"/>
    <w:basedOn w:val="910"/>
    <w:link w:val="909"/>
    <w:uiPriority w:val="9"/>
    <w:pPr>
      <w:pBdr/>
      <w:spacing/>
      <w:ind/>
    </w:pPr>
    <w:rPr>
      <w:rFonts w:ascii="Arial" w:hAnsi="Arial" w:eastAsiaTheme="majorEastAsia" w:cstheme="majorBidi"/>
      <w:iCs/>
      <w:color w:val="000000" w:themeColor="text1"/>
      <w:spacing w:val="-10"/>
      <w:sz w:val="22"/>
      <w:szCs w:val="21"/>
      <w:lang w:eastAsia="sv-SE"/>
    </w:rPr>
  </w:style>
  <w:style w:type="paragraph" w:styleId="922">
    <w:name w:val="toc 2"/>
    <w:basedOn w:val="900"/>
    <w:next w:val="900"/>
    <w:uiPriority w:val="39"/>
    <w:unhideWhenUsed/>
    <w:pPr>
      <w:pBdr/>
      <w:spacing w:after="100"/>
      <w:ind w:left="240"/>
    </w:pPr>
  </w:style>
  <w:style w:type="paragraph" w:styleId="923">
    <w:name w:val="toc 1"/>
    <w:basedOn w:val="900"/>
    <w:next w:val="900"/>
    <w:uiPriority w:val="39"/>
    <w:unhideWhenUsed/>
    <w:pPr>
      <w:pBdr/>
      <w:spacing w:after="100"/>
      <w:ind/>
    </w:pPr>
  </w:style>
  <w:style w:type="paragraph" w:styleId="924">
    <w:name w:val="toc 3"/>
    <w:basedOn w:val="900"/>
    <w:next w:val="900"/>
    <w:uiPriority w:val="39"/>
    <w:unhideWhenUsed/>
    <w:pPr>
      <w:pBdr/>
      <w:spacing w:after="100"/>
      <w:ind w:left="480"/>
    </w:pPr>
  </w:style>
  <w:style w:type="paragraph" w:styleId="925">
    <w:name w:val="toc 4"/>
    <w:basedOn w:val="900"/>
    <w:next w:val="900"/>
    <w:uiPriority w:val="39"/>
    <w:unhideWhenUsed/>
    <w:pPr>
      <w:pBdr/>
      <w:spacing w:after="100"/>
      <w:ind w:left="720"/>
    </w:pPr>
  </w:style>
  <w:style w:type="character" w:styleId="926">
    <w:name w:val="Hyperlink"/>
    <w:basedOn w:val="910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27">
    <w:name w:val="List Paragraph"/>
    <w:basedOn w:val="900"/>
    <w:uiPriority w:val="34"/>
    <w:qFormat/>
    <w:pPr>
      <w:pBdr/>
      <w:spacing/>
      <w:ind w:left="720"/>
      <w:contextualSpacing w:val="true"/>
    </w:pPr>
  </w:style>
  <w:style w:type="paragraph" w:styleId="928" w:customStyle="1">
    <w:name w:val="Bullet List"/>
    <w:basedOn w:val="927"/>
    <w:qFormat/>
    <w:pPr>
      <w:numPr>
        <w:numId w:val="11"/>
      </w:numPr>
      <w:pBdr/>
      <w:spacing/>
      <w:ind/>
    </w:pPr>
  </w:style>
  <w:style w:type="paragraph" w:styleId="929" w:customStyle="1">
    <w:name w:val="Numbered List"/>
    <w:basedOn w:val="927"/>
    <w:qFormat/>
    <w:pPr>
      <w:numPr>
        <w:numId w:val="12"/>
      </w:numPr>
      <w:pBdr/>
      <w:spacing/>
      <w:ind/>
    </w:pPr>
  </w:style>
  <w:style w:type="table" w:styleId="930">
    <w:name w:val="Table Grid"/>
    <w:basedOn w:val="911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>
    <w:name w:val="Title"/>
    <w:basedOn w:val="900"/>
    <w:next w:val="900"/>
    <w:link w:val="932"/>
    <w:uiPriority w:val="10"/>
    <w:qFormat/>
    <w:pPr>
      <w:pBdr/>
      <w:spacing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32" w:customStyle="1">
    <w:name w:val="Rubrik Char"/>
    <w:basedOn w:val="910"/>
    <w:link w:val="931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  <w:lang w:eastAsia="sv-SE"/>
    </w:rPr>
  </w:style>
  <w:style w:type="paragraph" w:styleId="933">
    <w:name w:val="Subtitle"/>
    <w:basedOn w:val="900"/>
    <w:next w:val="900"/>
    <w:link w:val="934"/>
    <w:uiPriority w:val="11"/>
    <w:qFormat/>
    <w:pPr>
      <w:numPr>
        <w:ilvl w:val="1"/>
      </w:numPr>
      <w:pBdr/>
      <w:spacing w:after="160"/>
      <w:ind/>
    </w:pPr>
    <w:rPr>
      <w:rFonts w:asciiTheme="minorHAnsi" w:hAnsiTheme="minorHAnsi" w:eastAsiaTheme="minorEastAsia" w:cstheme="minorBidi"/>
      <w:color w:val="5a5a5a" w:themeColor="text1" w:themeTint="A5"/>
      <w:spacing w:val="15"/>
      <w:szCs w:val="22"/>
    </w:rPr>
  </w:style>
  <w:style w:type="character" w:styleId="934" w:customStyle="1">
    <w:name w:val="Underrubrik Char"/>
    <w:basedOn w:val="910"/>
    <w:link w:val="933"/>
    <w:uiPriority w:val="11"/>
    <w:pPr>
      <w:pBdr/>
      <w:spacing/>
      <w:ind/>
    </w:pPr>
    <w:rPr>
      <w:rFonts w:eastAsiaTheme="minorEastAsia"/>
      <w:color w:val="5a5a5a" w:themeColor="text1" w:themeTint="A5"/>
      <w:spacing w:val="15"/>
      <w:sz w:val="22"/>
      <w:szCs w:val="22"/>
      <w:lang w:eastAsia="sv-S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Axblom</dc:creator>
  <cp:keywords/>
  <dc:description/>
  <cp:lastModifiedBy>roeea@infinetamed.com</cp:lastModifiedBy>
  <cp:revision>14</cp:revision>
  <dcterms:created xsi:type="dcterms:W3CDTF">2025-06-10T07:52:00Z</dcterms:created>
  <dcterms:modified xsi:type="dcterms:W3CDTF">2025-09-21T08:22:21Z</dcterms:modified>
</cp:coreProperties>
</file>